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Правила оплаты и безопасность платежей, конфиденциальность информации.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Оплата банковскими картами осуществляется через «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Wooppay</w:t>
      </w:r>
      <w:proofErr w:type="spellEnd"/>
      <w:r>
        <w:rPr>
          <w:rFonts w:ascii="Arial" w:hAnsi="Arial" w:cs="Arial"/>
          <w:color w:val="4C4C4C"/>
          <w:sz w:val="21"/>
          <w:szCs w:val="21"/>
        </w:rPr>
        <w:t>».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 xml:space="preserve">К оплате принимаются карты VISA и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MasterCard</w:t>
      </w:r>
      <w:proofErr w:type="spellEnd"/>
      <w:r>
        <w:rPr>
          <w:rFonts w:ascii="Arial" w:hAnsi="Arial" w:cs="Arial"/>
          <w:color w:val="4C4C4C"/>
          <w:sz w:val="21"/>
          <w:szCs w:val="21"/>
        </w:rPr>
        <w:t>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bookmarkStart w:id="0" w:name="_GoBack"/>
      <w:bookmarkEnd w:id="0"/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 xml:space="preserve">Услуга оплаты через интернет осуществляется в соответствии с Правилами международных платежных систем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Visa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MasterCard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 на принципах соблюдения конфиденциальности и безопасности совершения платежа, для чего используются самые современные методы проверки, шифрования и передачи данных по закрытым каналам связи. Ввод данных банковской карты осуществляется на защищенной платежной странице «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Wooppay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». На странице для ввода данных банковской карты потребуется ввести номер карты, имя владельца карты, срок действия карты, трёхзначный код безопасности (CVV2 для VISA или CVC2 для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MasterCard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). Все необходимые данные пропечатаны на самой карте. Трёхзначный код безопасности — это три цифры, находящиеся на обратной стороне карты. Далее вы будете перенаправлены на страницу Вашего банка для ввода 3DSecure кода, который придет к Вам в СМС. Если 3DSecure код к Вам не пришел, то следует обратится </w:t>
      </w:r>
      <w:proofErr w:type="gramStart"/>
      <w:r>
        <w:rPr>
          <w:rFonts w:ascii="Arial" w:hAnsi="Arial" w:cs="Arial"/>
          <w:color w:val="4C4C4C"/>
          <w:sz w:val="21"/>
          <w:szCs w:val="21"/>
        </w:rPr>
        <w:t>в банк</w:t>
      </w:r>
      <w:proofErr w:type="gramEnd"/>
      <w:r>
        <w:rPr>
          <w:rFonts w:ascii="Arial" w:hAnsi="Arial" w:cs="Arial"/>
          <w:color w:val="4C4C4C"/>
          <w:sz w:val="21"/>
          <w:szCs w:val="21"/>
        </w:rPr>
        <w:t xml:space="preserve"> выдавший Вам карту.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Случаи отказа в совершении платежа: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- Банковская карта не предназначена для совершения платежей через интернет, о чем можно узнать, обратившись в Ваш Банк;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- Недостаточно средств для оплаты на банковской карте. Подробнее о наличии средств на банковской карте Вы можете узнать, обратившись в банк, выпустивший банковскую карту;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- данные банковской карты введены неверно;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- истек срок действия банковской карты. Срок действия карты, как правило, указан на лицевой стороне карты (это месяц и год, до которого действительна карта). Подробнее о сроке действия карты Вы можете узнать, обратившись в банк, выпустивший банковскую карту;</w:t>
      </w:r>
    </w:p>
    <w:p w:rsidR="00A72A5D" w:rsidRPr="00A72A5D" w:rsidRDefault="00A72A5D" w:rsidP="00A72A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 xml:space="preserve">По вопросам оплаты с помощью банковской карты и иным вопросам, связанным с работой сайта, Вы можете обращаться по следующим телефонам: </w:t>
      </w:r>
      <w:r w:rsidRPr="00A72A5D">
        <w:rPr>
          <w:rFonts w:ascii="Arial" w:hAnsi="Arial" w:cs="Arial"/>
          <w:color w:val="4C4C4C"/>
          <w:sz w:val="21"/>
          <w:szCs w:val="21"/>
        </w:rPr>
        <w:t>________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Предоставляемая вами персональная информация (имя, адрес, телефон, e-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mail</w:t>
      </w:r>
      <w:proofErr w:type="spellEnd"/>
      <w:r>
        <w:rPr>
          <w:rFonts w:ascii="Arial" w:hAnsi="Arial" w:cs="Arial"/>
          <w:color w:val="4C4C4C"/>
          <w:sz w:val="21"/>
          <w:szCs w:val="21"/>
        </w:rPr>
        <w:t xml:space="preserve">, номер банковской карты) является конфиденциальной и не подлежит разглашению. Данные вашей кредитной карты передаются только в зашифрованном виде и не сохраняются на нашем </w:t>
      </w:r>
      <w:proofErr w:type="spellStart"/>
      <w:r>
        <w:rPr>
          <w:rFonts w:ascii="Arial" w:hAnsi="Arial" w:cs="Arial"/>
          <w:color w:val="4C4C4C"/>
          <w:sz w:val="21"/>
          <w:szCs w:val="21"/>
        </w:rPr>
        <w:t>Web</w:t>
      </w:r>
      <w:proofErr w:type="spellEnd"/>
      <w:r>
        <w:rPr>
          <w:rFonts w:ascii="Arial" w:hAnsi="Arial" w:cs="Arial"/>
          <w:color w:val="4C4C4C"/>
          <w:sz w:val="21"/>
          <w:szCs w:val="21"/>
        </w:rPr>
        <w:t>-сервере.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Правила возврата товара.</w:t>
      </w:r>
    </w:p>
    <w:p w:rsidR="00A72A5D" w:rsidRDefault="00A72A5D" w:rsidP="00A72A5D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color w:val="4C4C4C"/>
          <w:sz w:val="21"/>
          <w:szCs w:val="21"/>
        </w:rPr>
        <w:t>Закон защиты прав потребителей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Статья 30. Обязанности продавца (изготовителя) при продаже товара как надлежащего, так и ненадлежащего качества</w:t>
      </w:r>
      <w:r>
        <w:rPr>
          <w:rFonts w:ascii="Arial" w:hAnsi="Arial" w:cs="Arial"/>
          <w:color w:val="4C4C4C"/>
          <w:sz w:val="21"/>
          <w:szCs w:val="21"/>
        </w:rPr>
        <w:br/>
        <w:t>Пункт 1 изложен в редакции Закона РК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 xml:space="preserve">1. Продавец (изготовитель) обязан обеспечить обмен или возврат непродовольственного товара надлежащего качества, если он не был в употреблении, сохранены его товарный вид, потребительские свойства, пломбы, ярлыки, а также документ, подтверждающий факт </w:t>
      </w:r>
      <w:r>
        <w:rPr>
          <w:rFonts w:ascii="Arial" w:hAnsi="Arial" w:cs="Arial"/>
          <w:color w:val="4C4C4C"/>
          <w:sz w:val="21"/>
          <w:szCs w:val="21"/>
        </w:rPr>
        <w:lastRenderedPageBreak/>
        <w:t>приобретения товара, в течение четырнадцати календарных дней, если более длительный срок не установлен договором, со дня приобретения товара, </w:t>
      </w:r>
      <w:r>
        <w:rPr>
          <w:rFonts w:ascii="Arial" w:hAnsi="Arial" w:cs="Arial"/>
          <w:b/>
          <w:bCs/>
          <w:color w:val="4C4C4C"/>
          <w:sz w:val="21"/>
          <w:szCs w:val="21"/>
        </w:rPr>
        <w:t>за исключением</w:t>
      </w:r>
      <w:r>
        <w:rPr>
          <w:rFonts w:ascii="Arial" w:hAnsi="Arial" w:cs="Arial"/>
          <w:color w:val="4C4C4C"/>
          <w:sz w:val="21"/>
          <w:szCs w:val="21"/>
        </w:rPr>
        <w:t>: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1) лекарственных средств, изделий медицинского назначения;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2) нательного белья;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3) чулочно-носочных изделий;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4) животных и </w:t>
      </w:r>
      <w:r>
        <w:rPr>
          <w:rFonts w:ascii="Arial" w:hAnsi="Arial" w:cs="Arial"/>
          <w:b/>
          <w:bCs/>
          <w:color w:val="4C4C4C"/>
          <w:sz w:val="21"/>
          <w:szCs w:val="21"/>
        </w:rPr>
        <w:t>растений</w:t>
      </w:r>
      <w:r>
        <w:rPr>
          <w:rFonts w:ascii="Arial" w:hAnsi="Arial" w:cs="Arial"/>
          <w:color w:val="4C4C4C"/>
          <w:sz w:val="21"/>
          <w:szCs w:val="21"/>
        </w:rPr>
        <w:t>;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  <w:t>5) метражных товаров, а именно тканей из волокон всех видов, трикотажного и гардинного полотна, меха искусственного, ковровых изделий, нетканых материалов, лент, кружева, тесьмы, проводов, шнуров, кабелей, линолеума, багета, пленки, клеенки.</w:t>
      </w:r>
    </w:p>
    <w:p w:rsidR="00125578" w:rsidRDefault="00125578"/>
    <w:sectPr w:rsidR="0012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5D"/>
    <w:rsid w:val="00125578"/>
    <w:rsid w:val="002F0A3C"/>
    <w:rsid w:val="00A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80FB"/>
  <w15:chartTrackingRefBased/>
  <w15:docId w15:val="{914D2263-4956-46DB-B7A9-954A19A3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Балтабаев</dc:creator>
  <cp:keywords/>
  <dc:description/>
  <cp:lastModifiedBy>Виктор Балтабаев</cp:lastModifiedBy>
  <cp:revision>1</cp:revision>
  <dcterms:created xsi:type="dcterms:W3CDTF">2020-02-13T10:39:00Z</dcterms:created>
  <dcterms:modified xsi:type="dcterms:W3CDTF">2020-02-13T10:41:00Z</dcterms:modified>
</cp:coreProperties>
</file>